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1A118" w14:textId="77777777" w:rsidR="00C508E3" w:rsidRPr="006A6970" w:rsidRDefault="00C508E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Arial" w:hAnsi="Arial" w:cs="Arial"/>
          <w:u w:val="double"/>
        </w:rPr>
      </w:pPr>
    </w:p>
    <w:p w14:paraId="75CDE896" w14:textId="77777777" w:rsidR="00C508E3" w:rsidRPr="006A6970" w:rsidRDefault="00C508E3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7760BEA5" w14:textId="77777777" w:rsidR="00C508E3" w:rsidRPr="006A6970" w:rsidRDefault="00C508E3">
      <w:pPr>
        <w:widowControl w:val="0"/>
        <w:spacing w:line="223" w:lineRule="auto"/>
        <w:jc w:val="both"/>
        <w:rPr>
          <w:rFonts w:ascii="Arial" w:hAnsi="Arial" w:cs="Arial"/>
        </w:rPr>
      </w:pPr>
      <w:r w:rsidRPr="006A6970">
        <w:rPr>
          <w:rFonts w:ascii="Arial" w:hAnsi="Arial" w:cs="Arial"/>
        </w:rPr>
        <w:t>THIS ENDORSEMENT CHANGES THE POLICY.  PLEASE READ IT CAREFULLY.</w:t>
      </w:r>
    </w:p>
    <w:p w14:paraId="557EBF65" w14:textId="77777777" w:rsidR="00C508E3" w:rsidRDefault="00C508E3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7A815E7A" w14:textId="77777777" w:rsidR="00C508E3" w:rsidRDefault="00C508E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735620" w:rsidRPr="00BC0D4D">
        <w:rPr>
          <w:rFonts w:ascii="Arial" w:hAnsi="Arial" w:cs="Arial"/>
          <w:b/>
          <w:sz w:val="32"/>
        </w:rPr>
        <w:t xml:space="preserve">Lien </w:t>
      </w:r>
      <w:r w:rsidR="004B52A0" w:rsidRPr="00BC0D4D">
        <w:rPr>
          <w:rFonts w:ascii="Arial" w:hAnsi="Arial" w:cs="Arial"/>
          <w:b/>
          <w:sz w:val="32"/>
        </w:rPr>
        <w:t xml:space="preserve">Priority </w:t>
      </w:r>
      <w:r w:rsidR="00735620" w:rsidRPr="00BC0D4D">
        <w:rPr>
          <w:rFonts w:ascii="Arial" w:hAnsi="Arial" w:cs="Arial"/>
          <w:b/>
          <w:sz w:val="32"/>
        </w:rPr>
        <w:t xml:space="preserve">and Wrongful Foreclosure </w:t>
      </w:r>
      <w:r w:rsidR="00716A63" w:rsidRPr="00BC0D4D">
        <w:rPr>
          <w:rFonts w:ascii="Arial" w:hAnsi="Arial" w:cs="Arial"/>
          <w:b/>
          <w:sz w:val="32"/>
        </w:rPr>
        <w:t>Exclusion</w:t>
      </w:r>
    </w:p>
    <w:p w14:paraId="501277E3" w14:textId="77777777" w:rsidR="00C508E3" w:rsidRDefault="00C508E3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6F8E2C2F" w14:textId="77777777" w:rsidR="00C508E3" w:rsidRDefault="00C508E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Directors and Officers Liability Coverage Part under the following:</w:t>
      </w:r>
    </w:p>
    <w:p w14:paraId="3C41F66B" w14:textId="77777777" w:rsidR="00C508E3" w:rsidRDefault="00C508E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9973DB6" w14:textId="77777777" w:rsidR="00C508E3" w:rsidRDefault="00C508E3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A275CF6" w14:textId="77777777" w:rsidR="00C508E3" w:rsidRDefault="00C508E3" w:rsidP="00D446D8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6961A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63262E25" w14:textId="77777777" w:rsidR="00C508E3" w:rsidRDefault="00C508E3" w:rsidP="00D446D8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6961A9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4AC5270B" w14:textId="77777777" w:rsidR="00C508E3" w:rsidRDefault="00C508E3" w:rsidP="00D446D8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6961A9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0877B687" w14:textId="77777777" w:rsidR="00C508E3" w:rsidRDefault="00C508E3" w:rsidP="00D446D8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6961A9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3A2113D" w14:textId="77777777" w:rsidR="00C508E3" w:rsidRDefault="00C508E3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2B7C33D8" w14:textId="77777777" w:rsidR="00C508E3" w:rsidRDefault="00C508E3">
      <w:pPr>
        <w:pStyle w:val="BlockText"/>
        <w:ind w:left="0"/>
        <w:rPr>
          <w:rFonts w:ascii="Arial" w:hAnsi="Arial"/>
          <w:sz w:val="24"/>
        </w:rPr>
      </w:pPr>
    </w:p>
    <w:p w14:paraId="56DDA17C" w14:textId="77777777" w:rsidR="00C508E3" w:rsidRDefault="00C508E3">
      <w:pPr>
        <w:spacing w:line="192" w:lineRule="auto"/>
        <w:ind w:right="-57"/>
        <w:jc w:val="both"/>
        <w:rPr>
          <w:rFonts w:ascii="Arial" w:hAnsi="Arial"/>
          <w:b/>
          <w:sz w:val="24"/>
        </w:rPr>
      </w:pPr>
    </w:p>
    <w:p w14:paraId="0F88FED9" w14:textId="77777777" w:rsidR="00C508E3" w:rsidRPr="006A6970" w:rsidRDefault="00C508E3" w:rsidP="006A6970">
      <w:pPr>
        <w:spacing w:line="192" w:lineRule="auto"/>
        <w:ind w:left="720" w:right="468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sz w:val="24"/>
        </w:rPr>
        <w:t xml:space="preserve">The following is added to </w:t>
      </w:r>
      <w:r w:rsidRPr="006A6970">
        <w:rPr>
          <w:rFonts w:ascii="Arial" w:hAnsi="Arial"/>
          <w:b/>
          <w:bCs/>
          <w:sz w:val="24"/>
        </w:rPr>
        <w:t xml:space="preserve">I. DIRECTORS AND OFFICERS LIABILITY </w:t>
      </w:r>
      <w:r w:rsidR="006961A9" w:rsidRPr="006A6970">
        <w:rPr>
          <w:rFonts w:ascii="Arial" w:hAnsi="Arial"/>
          <w:b/>
          <w:bCs/>
          <w:sz w:val="24"/>
        </w:rPr>
        <w:t>COVERAGES SECTION, II. DIRECTORS AND OFFICERS LIABILITY EXCLUSIONS SECTION:</w:t>
      </w:r>
    </w:p>
    <w:p w14:paraId="15A5746C" w14:textId="77777777" w:rsidR="00C508E3" w:rsidRPr="006A6970" w:rsidRDefault="00C508E3" w:rsidP="006A6970">
      <w:pPr>
        <w:spacing w:line="192" w:lineRule="auto"/>
        <w:ind w:left="720" w:right="468"/>
        <w:jc w:val="both"/>
        <w:rPr>
          <w:rFonts w:ascii="Arial" w:hAnsi="Arial"/>
          <w:b/>
          <w:bCs/>
          <w:sz w:val="24"/>
        </w:rPr>
      </w:pPr>
    </w:p>
    <w:p w14:paraId="076FFF72" w14:textId="77777777" w:rsidR="005B45CC" w:rsidRPr="00ED1C1E" w:rsidRDefault="006961A9" w:rsidP="006A6970">
      <w:pPr>
        <w:autoSpaceDE w:val="0"/>
        <w:autoSpaceDN w:val="0"/>
        <w:ind w:left="720" w:right="46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insurance does not apply to</w:t>
      </w:r>
      <w:r w:rsidR="005B45CC">
        <w:rPr>
          <w:rFonts w:ascii="Arial" w:hAnsi="Arial"/>
          <w:sz w:val="24"/>
        </w:rPr>
        <w:t xml:space="preserve"> any “claim” </w:t>
      </w:r>
      <w:r w:rsidR="00735620">
        <w:rPr>
          <w:rFonts w:ascii="Arial" w:hAnsi="Arial"/>
          <w:sz w:val="24"/>
        </w:rPr>
        <w:t>“suit”</w:t>
      </w:r>
      <w:r w:rsidR="005B45CC">
        <w:rPr>
          <w:rFonts w:ascii="Arial" w:hAnsi="Arial"/>
          <w:sz w:val="24"/>
        </w:rPr>
        <w:t xml:space="preserve"> “defense costs”, or “</w:t>
      </w:r>
      <w:r w:rsidR="002C3E05">
        <w:rPr>
          <w:rFonts w:ascii="Arial" w:hAnsi="Arial"/>
          <w:sz w:val="24"/>
        </w:rPr>
        <w:t>loss</w:t>
      </w:r>
      <w:r w:rsidR="005B45CC">
        <w:rPr>
          <w:rFonts w:ascii="Arial" w:hAnsi="Arial"/>
          <w:sz w:val="24"/>
        </w:rPr>
        <w:t xml:space="preserve">” </w:t>
      </w:r>
      <w:r w:rsidR="005B45CC" w:rsidRPr="005B45CC">
        <w:rPr>
          <w:rFonts w:ascii="Arial" w:hAnsi="Arial" w:cs="Arial"/>
          <w:bCs/>
          <w:sz w:val="24"/>
          <w:szCs w:val="24"/>
        </w:rPr>
        <w:t>based upon</w:t>
      </w:r>
      <w:r w:rsidR="005B45CC">
        <w:rPr>
          <w:rFonts w:ascii="Arial" w:hAnsi="Arial" w:cs="Arial"/>
          <w:bCs/>
          <w:sz w:val="24"/>
          <w:szCs w:val="24"/>
        </w:rPr>
        <w:t>,</w:t>
      </w:r>
      <w:r w:rsidR="005B45CC" w:rsidRPr="005B45CC">
        <w:rPr>
          <w:rFonts w:ascii="Arial" w:hAnsi="Arial" w:cs="Arial"/>
          <w:bCs/>
          <w:sz w:val="24"/>
          <w:szCs w:val="24"/>
        </w:rPr>
        <w:t xml:space="preserve"> or arising out</w:t>
      </w:r>
      <w:r w:rsidR="002C3E05">
        <w:rPr>
          <w:rFonts w:ascii="Arial" w:hAnsi="Arial" w:cs="Arial"/>
          <w:bCs/>
          <w:sz w:val="24"/>
          <w:szCs w:val="24"/>
        </w:rPr>
        <w:t xml:space="preserve"> of, </w:t>
      </w:r>
      <w:r w:rsidR="005B45CC" w:rsidRPr="005B45CC">
        <w:rPr>
          <w:rFonts w:ascii="Arial" w:hAnsi="Arial" w:cs="Arial"/>
          <w:bCs/>
          <w:sz w:val="24"/>
          <w:szCs w:val="24"/>
        </w:rPr>
        <w:t xml:space="preserve">any </w:t>
      </w:r>
      <w:r w:rsidR="002C3E05">
        <w:rPr>
          <w:rFonts w:ascii="Arial" w:hAnsi="Arial" w:cs="Arial"/>
          <w:bCs/>
          <w:sz w:val="24"/>
          <w:szCs w:val="24"/>
        </w:rPr>
        <w:t>“wrongful act”</w:t>
      </w:r>
      <w:r w:rsidR="005B45CC">
        <w:rPr>
          <w:rFonts w:ascii="Arial" w:hAnsi="Arial" w:cs="Arial"/>
          <w:bCs/>
          <w:sz w:val="24"/>
          <w:szCs w:val="24"/>
        </w:rPr>
        <w:t xml:space="preserve"> </w:t>
      </w:r>
      <w:r w:rsidR="00735620">
        <w:rPr>
          <w:rFonts w:ascii="Arial" w:hAnsi="Arial" w:cs="Arial"/>
          <w:bCs/>
          <w:sz w:val="24"/>
          <w:szCs w:val="24"/>
        </w:rPr>
        <w:t xml:space="preserve">related in any way to </w:t>
      </w:r>
      <w:r w:rsidR="004B52A0">
        <w:rPr>
          <w:rFonts w:ascii="Arial" w:hAnsi="Arial" w:cs="Arial"/>
          <w:bCs/>
          <w:sz w:val="24"/>
          <w:szCs w:val="24"/>
        </w:rPr>
        <w:t>and/or arising out of any state statute, regulation</w:t>
      </w:r>
      <w:r w:rsidR="005B45CC">
        <w:rPr>
          <w:rFonts w:ascii="Arial" w:hAnsi="Arial" w:cs="Arial"/>
          <w:bCs/>
          <w:sz w:val="24"/>
          <w:szCs w:val="24"/>
        </w:rPr>
        <w:t>, amendatory law</w:t>
      </w:r>
      <w:r w:rsidR="00735620">
        <w:rPr>
          <w:rFonts w:ascii="Arial" w:hAnsi="Arial" w:cs="Arial"/>
          <w:bCs/>
          <w:sz w:val="24"/>
          <w:szCs w:val="24"/>
        </w:rPr>
        <w:t xml:space="preserve">, </w:t>
      </w:r>
      <w:r w:rsidR="004B52A0">
        <w:rPr>
          <w:rFonts w:ascii="Arial" w:hAnsi="Arial" w:cs="Arial"/>
          <w:bCs/>
          <w:sz w:val="24"/>
          <w:szCs w:val="24"/>
        </w:rPr>
        <w:t xml:space="preserve">or common law in connection with </w:t>
      </w:r>
      <w:r w:rsidR="00735620">
        <w:rPr>
          <w:rFonts w:ascii="Arial" w:hAnsi="Arial" w:cs="Arial"/>
          <w:bCs/>
          <w:sz w:val="24"/>
          <w:szCs w:val="24"/>
        </w:rPr>
        <w:t>priority of liens</w:t>
      </w:r>
      <w:r w:rsidR="005A5827">
        <w:rPr>
          <w:rFonts w:ascii="Arial" w:hAnsi="Arial" w:cs="Arial"/>
          <w:bCs/>
          <w:sz w:val="24"/>
          <w:szCs w:val="24"/>
        </w:rPr>
        <w:t>, mortgage protection clauses</w:t>
      </w:r>
      <w:r w:rsidR="00735620">
        <w:rPr>
          <w:rFonts w:ascii="Arial" w:hAnsi="Arial" w:cs="Arial"/>
          <w:bCs/>
          <w:sz w:val="24"/>
          <w:szCs w:val="24"/>
        </w:rPr>
        <w:t xml:space="preserve"> </w:t>
      </w:r>
      <w:r w:rsidR="00DE59BC">
        <w:rPr>
          <w:rFonts w:ascii="Arial" w:hAnsi="Arial" w:cs="Arial"/>
          <w:bCs/>
          <w:sz w:val="24"/>
          <w:szCs w:val="24"/>
        </w:rPr>
        <w:t>or</w:t>
      </w:r>
      <w:r w:rsidR="00735620">
        <w:rPr>
          <w:rFonts w:ascii="Arial" w:hAnsi="Arial" w:cs="Arial"/>
          <w:bCs/>
          <w:sz w:val="24"/>
          <w:szCs w:val="24"/>
        </w:rPr>
        <w:t xml:space="preserve"> foreclosure</w:t>
      </w:r>
      <w:r w:rsidR="005A5827">
        <w:rPr>
          <w:rFonts w:ascii="Arial" w:hAnsi="Arial" w:cs="Arial"/>
          <w:bCs/>
          <w:sz w:val="24"/>
          <w:szCs w:val="24"/>
        </w:rPr>
        <w:t xml:space="preserve"> proceedings</w:t>
      </w:r>
      <w:r w:rsidR="005B45CC">
        <w:rPr>
          <w:rFonts w:ascii="Arial" w:hAnsi="Arial" w:cs="Arial"/>
          <w:bCs/>
          <w:sz w:val="24"/>
          <w:szCs w:val="24"/>
        </w:rPr>
        <w:t>.</w:t>
      </w:r>
    </w:p>
    <w:p w14:paraId="6EA77255" w14:textId="77777777" w:rsidR="005B45CC" w:rsidRDefault="005B45CC" w:rsidP="005B45CC">
      <w:r>
        <w:rPr>
          <w:rFonts w:ascii="Arial" w:hAnsi="Arial" w:cs="Arial"/>
          <w:b/>
          <w:bCs/>
        </w:rPr>
        <w:t> </w:t>
      </w:r>
    </w:p>
    <w:p w14:paraId="3FB8CB83" w14:textId="77777777" w:rsidR="006A6970" w:rsidRDefault="006A6970">
      <w:pPr>
        <w:spacing w:line="192" w:lineRule="auto"/>
        <w:ind w:left="720" w:right="-57"/>
        <w:rPr>
          <w:rFonts w:ascii="Arial" w:hAnsi="Arial"/>
          <w:sz w:val="24"/>
        </w:rPr>
      </w:pPr>
    </w:p>
    <w:p w14:paraId="3192D19C" w14:textId="77777777" w:rsidR="006A6970" w:rsidRDefault="006A6970">
      <w:pPr>
        <w:spacing w:line="192" w:lineRule="auto"/>
        <w:ind w:left="720" w:right="-57"/>
        <w:rPr>
          <w:rFonts w:ascii="Arial" w:hAnsi="Arial"/>
          <w:sz w:val="24"/>
        </w:rPr>
      </w:pPr>
    </w:p>
    <w:p w14:paraId="1702C391" w14:textId="77777777" w:rsidR="006A6970" w:rsidRDefault="006A6970">
      <w:pPr>
        <w:spacing w:line="192" w:lineRule="auto"/>
        <w:ind w:left="720" w:right="-57"/>
        <w:rPr>
          <w:rFonts w:ascii="Arial" w:hAnsi="Arial"/>
          <w:sz w:val="24"/>
        </w:rPr>
      </w:pPr>
    </w:p>
    <w:p w14:paraId="3281A0A1" w14:textId="77777777" w:rsidR="00E463CD" w:rsidRDefault="00D446D8" w:rsidP="003B40A2">
      <w:pPr>
        <w:tabs>
          <w:tab w:val="left" w:pos="9600"/>
        </w:tabs>
        <w:spacing w:line="192" w:lineRule="auto"/>
        <w:ind w:left="720" w:right="-57"/>
        <w:rPr>
          <w:rFonts w:ascii="Arial" w:hAnsi="Arial"/>
          <w:sz w:val="24"/>
        </w:rPr>
      </w:pPr>
      <w:r w:rsidRPr="00D446D8">
        <w:rPr>
          <w:rFonts w:ascii="Arial" w:hAnsi="Arial"/>
          <w:sz w:val="24"/>
        </w:rPr>
        <w:t>All other terms and conditions of this policy remain unchanged</w:t>
      </w:r>
      <w:r w:rsidR="006A6970">
        <w:rPr>
          <w:rFonts w:ascii="Arial" w:hAnsi="Arial"/>
          <w:sz w:val="24"/>
        </w:rPr>
        <w:t>.</w:t>
      </w:r>
    </w:p>
    <w:p w14:paraId="71F0BA85" w14:textId="77777777" w:rsidR="00E463CD" w:rsidRDefault="00E463CD" w:rsidP="00E463CD">
      <w:pPr>
        <w:spacing w:after="80"/>
        <w:ind w:left="270" w:right="-58"/>
        <w:rPr>
          <w:rFonts w:ascii="Arial" w:hAnsi="Arial"/>
          <w:sz w:val="24"/>
        </w:rPr>
      </w:pPr>
    </w:p>
    <w:p w14:paraId="3B30816B" w14:textId="77777777" w:rsidR="00E463CD" w:rsidRDefault="00E463CD" w:rsidP="00E463CD">
      <w:pPr>
        <w:spacing w:after="80"/>
        <w:ind w:left="270" w:right="-58"/>
        <w:rPr>
          <w:rFonts w:ascii="Arial" w:hAnsi="Arial"/>
          <w:sz w:val="24"/>
        </w:rPr>
      </w:pPr>
    </w:p>
    <w:p w14:paraId="4EE1BE83" w14:textId="77777777" w:rsidR="00E463CD" w:rsidRDefault="00E463CD" w:rsidP="00E463CD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45567CDC" w14:textId="77777777" w:rsidR="00E463CD" w:rsidRPr="001D11E8" w:rsidRDefault="00E463CD" w:rsidP="00E463CD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200D286" w14:textId="77777777" w:rsidR="00E463CD" w:rsidRPr="00FA0FB7" w:rsidRDefault="00E463CD" w:rsidP="00E463CD">
      <w:pPr>
        <w:pStyle w:val="BlockText"/>
        <w:ind w:left="270"/>
        <w:rPr>
          <w:rFonts w:ascii="Arial" w:hAnsi="Arial" w:cs="Arial"/>
          <w:sz w:val="24"/>
          <w:szCs w:val="24"/>
        </w:rPr>
      </w:pPr>
    </w:p>
    <w:p w14:paraId="149926EA" w14:textId="77777777" w:rsidR="00E463CD" w:rsidRDefault="00E463CD" w:rsidP="00E463CD">
      <w:pPr>
        <w:tabs>
          <w:tab w:val="left" w:pos="-1137"/>
          <w:tab w:val="left" w:pos="-417"/>
          <w:tab w:val="left" w:pos="303"/>
          <w:tab w:val="left" w:pos="720"/>
          <w:tab w:val="left" w:pos="1743"/>
          <w:tab w:val="left" w:pos="2463"/>
          <w:tab w:val="left" w:pos="3183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before="120" w:line="206" w:lineRule="auto"/>
        <w:ind w:left="720" w:right="-57" w:hanging="450"/>
        <w:rPr>
          <w:rFonts w:ascii="Arial" w:hAnsi="Arial"/>
          <w:sz w:val="24"/>
        </w:rPr>
      </w:pPr>
    </w:p>
    <w:p w14:paraId="28DA1061" w14:textId="20F357F2" w:rsidR="00C508E3" w:rsidRDefault="003B40A2" w:rsidP="003B40A2">
      <w:pPr>
        <w:tabs>
          <w:tab w:val="left" w:pos="9600"/>
        </w:tabs>
        <w:spacing w:line="192" w:lineRule="auto"/>
        <w:ind w:left="720" w:right="-57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sectPr w:rsidR="00C508E3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25ECC" w14:textId="77777777" w:rsidR="0078722B" w:rsidRDefault="0078722B">
      <w:r>
        <w:separator/>
      </w:r>
    </w:p>
  </w:endnote>
  <w:endnote w:type="continuationSeparator" w:id="0">
    <w:p w14:paraId="15D7316E" w14:textId="77777777" w:rsidR="0078722B" w:rsidRDefault="00787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DDE1" w14:textId="37D9CE48" w:rsidR="00C508E3" w:rsidRDefault="00C508E3" w:rsidP="006A6970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ind w:firstLine="720"/>
      <w:jc w:val="left"/>
      <w:rPr>
        <w:rFonts w:ascii="Arial" w:hAnsi="Arial"/>
        <w:sz w:val="18"/>
      </w:rPr>
    </w:pPr>
  </w:p>
  <w:p w14:paraId="02E7E8AB" w14:textId="48F16ADE" w:rsidR="00C508E3" w:rsidRDefault="00C508E3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6A6970" w:rsidRPr="006A6970">
      <w:rPr>
        <w:rFonts w:ascii="Arial" w:hAnsi="Arial"/>
        <w:sz w:val="16"/>
      </w:rPr>
      <w:t>148289</w:t>
    </w:r>
    <w:r w:rsidR="006A6970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</w:r>
    <w:r w:rsidR="006A6970">
      <w:rPr>
        <w:rFonts w:ascii="Arial" w:hAnsi="Arial"/>
        <w:sz w:val="16"/>
      </w:rPr>
      <w:tab/>
      <w:t xml:space="preserve">Page </w:t>
    </w:r>
    <w:r w:rsidRPr="006A6970">
      <w:rPr>
        <w:rFonts w:ascii="Arial" w:hAnsi="Arial"/>
        <w:bCs/>
        <w:sz w:val="16"/>
        <w:szCs w:val="16"/>
      </w:rPr>
      <w:fldChar w:fldCharType="begin"/>
    </w:r>
    <w:r w:rsidRPr="006A6970">
      <w:rPr>
        <w:rFonts w:ascii="Arial" w:hAnsi="Arial"/>
        <w:bCs/>
        <w:sz w:val="16"/>
        <w:szCs w:val="16"/>
      </w:rPr>
      <w:instrText>PAGE</w:instrText>
    </w:r>
    <w:r w:rsidRPr="006A6970">
      <w:rPr>
        <w:rFonts w:ascii="Arial" w:hAnsi="Arial"/>
        <w:bCs/>
        <w:sz w:val="16"/>
        <w:szCs w:val="16"/>
      </w:rPr>
      <w:fldChar w:fldCharType="separate"/>
    </w:r>
    <w:r w:rsidR="00BC0D4D" w:rsidRPr="006A6970">
      <w:rPr>
        <w:rFonts w:ascii="Arial" w:hAnsi="Arial"/>
        <w:bCs/>
        <w:noProof/>
        <w:sz w:val="16"/>
        <w:szCs w:val="16"/>
      </w:rPr>
      <w:t>1</w:t>
    </w:r>
    <w:r w:rsidRPr="006A6970">
      <w:rPr>
        <w:rFonts w:ascii="Arial" w:hAnsi="Arial"/>
        <w:bCs/>
        <w:sz w:val="16"/>
        <w:szCs w:val="16"/>
      </w:rPr>
      <w:fldChar w:fldCharType="end"/>
    </w:r>
    <w:r w:rsidRPr="006A6970">
      <w:rPr>
        <w:rFonts w:ascii="Arial" w:hAnsi="Arial"/>
        <w:bCs/>
        <w:sz w:val="16"/>
        <w:szCs w:val="16"/>
      </w:rPr>
      <w:t xml:space="preserve"> of 1</w:t>
    </w:r>
  </w:p>
  <w:p w14:paraId="15D59921" w14:textId="77777777" w:rsidR="00C508E3" w:rsidRDefault="00C508E3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3297C" w14:textId="77777777" w:rsidR="0078722B" w:rsidRDefault="0078722B">
      <w:r>
        <w:separator/>
      </w:r>
    </w:p>
  </w:footnote>
  <w:footnote w:type="continuationSeparator" w:id="0">
    <w:p w14:paraId="5BF47992" w14:textId="77777777" w:rsidR="0078722B" w:rsidRDefault="00787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2730746"/>
    <w:multiLevelType w:val="hybridMultilevel"/>
    <w:tmpl w:val="2684056C"/>
    <w:lvl w:ilvl="0" w:tplc="6AC217F2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89144842">
    <w:abstractNumId w:val="11"/>
  </w:num>
  <w:num w:numId="2" w16cid:durableId="879434422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2123725220">
    <w:abstractNumId w:val="16"/>
  </w:num>
  <w:num w:numId="4" w16cid:durableId="460659852">
    <w:abstractNumId w:val="13"/>
  </w:num>
  <w:num w:numId="5" w16cid:durableId="304311088">
    <w:abstractNumId w:val="9"/>
  </w:num>
  <w:num w:numId="6" w16cid:durableId="196550088">
    <w:abstractNumId w:val="0"/>
  </w:num>
  <w:num w:numId="7" w16cid:durableId="1625306189">
    <w:abstractNumId w:val="8"/>
  </w:num>
  <w:num w:numId="8" w16cid:durableId="741827994">
    <w:abstractNumId w:val="19"/>
  </w:num>
  <w:num w:numId="9" w16cid:durableId="1266233374">
    <w:abstractNumId w:val="3"/>
  </w:num>
  <w:num w:numId="10" w16cid:durableId="1497528672">
    <w:abstractNumId w:val="7"/>
  </w:num>
  <w:num w:numId="11" w16cid:durableId="1014576886">
    <w:abstractNumId w:val="6"/>
  </w:num>
  <w:num w:numId="12" w16cid:durableId="2128309200">
    <w:abstractNumId w:val="14"/>
  </w:num>
  <w:num w:numId="13" w16cid:durableId="1851404424">
    <w:abstractNumId w:val="18"/>
  </w:num>
  <w:num w:numId="14" w16cid:durableId="940844533">
    <w:abstractNumId w:val="21"/>
  </w:num>
  <w:num w:numId="15" w16cid:durableId="839657227">
    <w:abstractNumId w:val="5"/>
  </w:num>
  <w:num w:numId="16" w16cid:durableId="1837115170">
    <w:abstractNumId w:val="20"/>
  </w:num>
  <w:num w:numId="17" w16cid:durableId="1158106848">
    <w:abstractNumId w:val="1"/>
  </w:num>
  <w:num w:numId="18" w16cid:durableId="855581453">
    <w:abstractNumId w:val="2"/>
  </w:num>
  <w:num w:numId="19" w16cid:durableId="1778257719">
    <w:abstractNumId w:val="4"/>
  </w:num>
  <w:num w:numId="20" w16cid:durableId="984354206">
    <w:abstractNumId w:val="17"/>
  </w:num>
  <w:num w:numId="21" w16cid:durableId="720255026">
    <w:abstractNumId w:val="12"/>
  </w:num>
  <w:num w:numId="22" w16cid:durableId="1925072061">
    <w:abstractNumId w:val="15"/>
  </w:num>
  <w:num w:numId="23" w16cid:durableId="6638225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1A9"/>
    <w:rsid w:val="000F458E"/>
    <w:rsid w:val="001F2E9C"/>
    <w:rsid w:val="002233C1"/>
    <w:rsid w:val="00226F38"/>
    <w:rsid w:val="002C222A"/>
    <w:rsid w:val="002C3E05"/>
    <w:rsid w:val="003A1C05"/>
    <w:rsid w:val="003A7094"/>
    <w:rsid w:val="003B40A2"/>
    <w:rsid w:val="00414403"/>
    <w:rsid w:val="004B52A0"/>
    <w:rsid w:val="004C3B6E"/>
    <w:rsid w:val="004E0A0B"/>
    <w:rsid w:val="005A5827"/>
    <w:rsid w:val="005B45CC"/>
    <w:rsid w:val="006961A9"/>
    <w:rsid w:val="006A6970"/>
    <w:rsid w:val="006B0C74"/>
    <w:rsid w:val="00716A63"/>
    <w:rsid w:val="00735620"/>
    <w:rsid w:val="007519D9"/>
    <w:rsid w:val="0078722B"/>
    <w:rsid w:val="007F139B"/>
    <w:rsid w:val="00AB70B7"/>
    <w:rsid w:val="00BC0D4D"/>
    <w:rsid w:val="00C508E3"/>
    <w:rsid w:val="00D32E45"/>
    <w:rsid w:val="00D446D8"/>
    <w:rsid w:val="00DE59BC"/>
    <w:rsid w:val="00E2534F"/>
    <w:rsid w:val="00E463CD"/>
    <w:rsid w:val="00ED1C1E"/>
    <w:rsid w:val="00F5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60A81EDD"/>
  <w15:chartTrackingRefBased/>
  <w15:docId w15:val="{2C19ECC0-004C-46DB-8BB4-A9F60853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semiHidden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semiHidden/>
    <w:rPr>
      <w:rFonts w:ascii="Univers" w:hAnsi="Univers"/>
      <w:sz w:val="22"/>
    </w:rPr>
  </w:style>
  <w:style w:type="character" w:styleId="CommentReference">
    <w:name w:val="annotation reference"/>
    <w:uiPriority w:val="99"/>
    <w:semiHidden/>
    <w:unhideWhenUsed/>
    <w:rsid w:val="002C22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222A"/>
  </w:style>
  <w:style w:type="character" w:customStyle="1" w:styleId="CommentTextChar">
    <w:name w:val="Comment Text Char"/>
    <w:basedOn w:val="DefaultParagraphFont"/>
    <w:link w:val="CommentText"/>
    <w:uiPriority w:val="99"/>
    <w:rsid w:val="002C222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22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C222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C2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9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dc:description/>
  <cp:lastModifiedBy>Ott, Kathleen</cp:lastModifiedBy>
  <cp:revision>4</cp:revision>
  <cp:lastPrinted>2001-07-05T20:06:00Z</cp:lastPrinted>
  <dcterms:created xsi:type="dcterms:W3CDTF">2024-11-04T15:46:00Z</dcterms:created>
  <dcterms:modified xsi:type="dcterms:W3CDTF">2024-11-18T18:35:00Z</dcterms:modified>
</cp:coreProperties>
</file>